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A55" w:rsidRPr="001266D0" w:rsidRDefault="00266A55" w:rsidP="00266A55">
      <w:pPr>
        <w:spacing w:line="240" w:lineRule="auto"/>
        <w:jc w:val="center"/>
        <w:rPr>
          <w:rFonts w:eastAsia="Times New Roman"/>
          <w:szCs w:val="24"/>
          <w:lang w:eastAsia="es-CO"/>
        </w:rPr>
      </w:pPr>
      <w:r w:rsidRPr="001266D0">
        <w:rPr>
          <w:rFonts w:eastAsia="Times New Roman"/>
          <w:b/>
          <w:bCs/>
          <w:szCs w:val="24"/>
          <w:lang w:eastAsia="es-CO"/>
        </w:rPr>
        <w:t>OFICIO Nº 061386</w:t>
      </w:r>
    </w:p>
    <w:p w:rsidR="00266A55" w:rsidRPr="001266D0" w:rsidRDefault="00266A55" w:rsidP="00266A55">
      <w:pPr>
        <w:spacing w:line="240" w:lineRule="auto"/>
        <w:jc w:val="center"/>
        <w:rPr>
          <w:rFonts w:eastAsia="Times New Roman"/>
          <w:szCs w:val="24"/>
          <w:lang w:eastAsia="es-CO"/>
        </w:rPr>
      </w:pPr>
      <w:r w:rsidRPr="001266D0">
        <w:rPr>
          <w:rFonts w:eastAsia="Times New Roman"/>
          <w:b/>
          <w:bCs/>
          <w:szCs w:val="24"/>
          <w:lang w:eastAsia="es-CO"/>
        </w:rPr>
        <w:t>31-10-2014</w:t>
      </w:r>
    </w:p>
    <w:p w:rsidR="00266A55" w:rsidRPr="001266D0" w:rsidRDefault="00266A55" w:rsidP="00266A55">
      <w:pPr>
        <w:spacing w:line="240" w:lineRule="auto"/>
        <w:jc w:val="center"/>
        <w:rPr>
          <w:rFonts w:eastAsia="Times New Roman"/>
          <w:szCs w:val="24"/>
          <w:lang w:eastAsia="es-CO"/>
        </w:rPr>
      </w:pPr>
      <w:r w:rsidRPr="001266D0">
        <w:rPr>
          <w:rFonts w:eastAsia="Times New Roman"/>
          <w:b/>
          <w:bCs/>
          <w:szCs w:val="24"/>
          <w:lang w:eastAsia="es-CO"/>
        </w:rPr>
        <w:t>DIAN</w:t>
      </w:r>
    </w:p>
    <w:p w:rsidR="00266A55" w:rsidRPr="001266D0" w:rsidRDefault="00266A55" w:rsidP="00266A55">
      <w:pPr>
        <w:spacing w:line="240" w:lineRule="auto"/>
        <w:rPr>
          <w:rFonts w:eastAsia="Times New Roman"/>
          <w:szCs w:val="24"/>
          <w:lang w:eastAsia="es-CO"/>
        </w:rPr>
      </w:pPr>
      <w:r w:rsidRPr="001266D0">
        <w:rPr>
          <w:rFonts w:eastAsia="Times New Roman"/>
          <w:b/>
          <w:bCs/>
          <w:szCs w:val="24"/>
          <w:lang w:eastAsia="es-CO"/>
        </w:rPr>
        <w:t> </w:t>
      </w:r>
    </w:p>
    <w:p w:rsidR="00266A55" w:rsidRPr="001266D0" w:rsidRDefault="00266A55" w:rsidP="00266A55">
      <w:pPr>
        <w:spacing w:line="240" w:lineRule="auto"/>
        <w:rPr>
          <w:rFonts w:eastAsia="Times New Roman"/>
          <w:szCs w:val="24"/>
          <w:lang w:eastAsia="es-CO"/>
        </w:rPr>
      </w:pPr>
      <w:r w:rsidRPr="001266D0">
        <w:rPr>
          <w:rFonts w:eastAsia="Times New Roman"/>
          <w:b/>
          <w:bCs/>
          <w:szCs w:val="24"/>
          <w:lang w:eastAsia="es-CO"/>
        </w:rPr>
        <w:t> </w:t>
      </w:r>
      <w:bookmarkStart w:id="0" w:name="_GoBack"/>
      <w:bookmarkEnd w:id="0"/>
    </w:p>
    <w:p w:rsidR="00266A55" w:rsidRPr="001266D0" w:rsidRDefault="00266A55" w:rsidP="00266A55">
      <w:pPr>
        <w:spacing w:line="240" w:lineRule="auto"/>
        <w:rPr>
          <w:rFonts w:eastAsia="Times New Roman"/>
          <w:szCs w:val="24"/>
          <w:lang w:eastAsia="es-CO"/>
        </w:rPr>
      </w:pPr>
      <w:r w:rsidRPr="001266D0">
        <w:rPr>
          <w:rFonts w:eastAsia="Times New Roman"/>
          <w:szCs w:val="24"/>
          <w:lang w:eastAsia="es-CO"/>
        </w:rPr>
        <w:t>Subdirección de Gestión Normativa y Doctrina</w:t>
      </w:r>
    </w:p>
    <w:p w:rsidR="00266A55" w:rsidRPr="001266D0" w:rsidRDefault="00266A55" w:rsidP="00266A55">
      <w:pPr>
        <w:spacing w:line="240" w:lineRule="auto"/>
        <w:rPr>
          <w:rFonts w:eastAsia="Times New Roman"/>
          <w:szCs w:val="24"/>
          <w:lang w:eastAsia="es-CO"/>
        </w:rPr>
      </w:pPr>
      <w:r w:rsidRPr="001266D0">
        <w:rPr>
          <w:rFonts w:eastAsia="Times New Roman"/>
          <w:szCs w:val="24"/>
          <w:lang w:eastAsia="es-CO"/>
        </w:rPr>
        <w:t>100208221- 001191</w:t>
      </w:r>
    </w:p>
    <w:p w:rsidR="00266A55" w:rsidRPr="001266D0" w:rsidRDefault="00266A55" w:rsidP="00266A55">
      <w:pPr>
        <w:spacing w:line="240" w:lineRule="auto"/>
        <w:rPr>
          <w:rFonts w:eastAsia="Times New Roman"/>
          <w:szCs w:val="24"/>
          <w:lang w:eastAsia="es-CO"/>
        </w:rPr>
      </w:pPr>
      <w:r w:rsidRPr="001266D0">
        <w:rPr>
          <w:rFonts w:eastAsia="Times New Roman"/>
          <w:szCs w:val="24"/>
          <w:lang w:eastAsia="es-CO"/>
        </w:rPr>
        <w:t>Bogotá, D.C.</w:t>
      </w:r>
    </w:p>
    <w:p w:rsidR="00266A55" w:rsidRPr="001266D0" w:rsidRDefault="00266A55" w:rsidP="00266A55">
      <w:pPr>
        <w:spacing w:line="240" w:lineRule="auto"/>
        <w:rPr>
          <w:rFonts w:eastAsia="Times New Roman"/>
          <w:szCs w:val="24"/>
          <w:lang w:eastAsia="es-CO"/>
        </w:rPr>
      </w:pPr>
      <w:r w:rsidRPr="001266D0">
        <w:rPr>
          <w:rFonts w:eastAsia="Times New Roman"/>
          <w:szCs w:val="24"/>
          <w:lang w:eastAsia="es-CO"/>
        </w:rPr>
        <w:t> </w:t>
      </w:r>
    </w:p>
    <w:p w:rsidR="00266A55" w:rsidRPr="001266D0" w:rsidRDefault="00266A55" w:rsidP="00266A55">
      <w:pPr>
        <w:spacing w:line="240" w:lineRule="auto"/>
        <w:rPr>
          <w:rFonts w:eastAsia="Times New Roman"/>
          <w:szCs w:val="24"/>
          <w:lang w:eastAsia="es-CO"/>
        </w:rPr>
      </w:pPr>
      <w:r w:rsidRPr="001266D0">
        <w:rPr>
          <w:rFonts w:eastAsia="Times New Roman"/>
          <w:szCs w:val="24"/>
          <w:lang w:eastAsia="es-CO"/>
        </w:rPr>
        <w:t>Señor</w:t>
      </w:r>
    </w:p>
    <w:p w:rsidR="00266A55" w:rsidRPr="001266D0" w:rsidRDefault="00266A55" w:rsidP="00266A55">
      <w:pPr>
        <w:spacing w:line="240" w:lineRule="auto"/>
        <w:rPr>
          <w:rFonts w:eastAsia="Times New Roman"/>
          <w:szCs w:val="24"/>
          <w:lang w:eastAsia="es-CO"/>
        </w:rPr>
      </w:pPr>
      <w:r w:rsidRPr="001266D0">
        <w:rPr>
          <w:rFonts w:eastAsia="Times New Roman"/>
          <w:b/>
          <w:bCs/>
          <w:szCs w:val="24"/>
          <w:lang w:eastAsia="es-CO"/>
        </w:rPr>
        <w:t>ARMANDO SERRANO MANTILLA</w:t>
      </w:r>
    </w:p>
    <w:p w:rsidR="00266A55" w:rsidRPr="001266D0" w:rsidRDefault="00266A55" w:rsidP="00266A55">
      <w:pPr>
        <w:spacing w:line="240" w:lineRule="auto"/>
        <w:rPr>
          <w:rFonts w:eastAsia="Times New Roman"/>
          <w:szCs w:val="24"/>
          <w:lang w:eastAsia="es-CO"/>
        </w:rPr>
      </w:pPr>
      <w:r w:rsidRPr="001266D0">
        <w:rPr>
          <w:rFonts w:eastAsia="Times New Roman"/>
          <w:szCs w:val="24"/>
          <w:lang w:eastAsia="es-CO"/>
        </w:rPr>
        <w:t>Carrera 9B Nº 117A-35</w:t>
      </w:r>
    </w:p>
    <w:p w:rsidR="00266A55" w:rsidRPr="001266D0" w:rsidRDefault="00266A55" w:rsidP="00266A55">
      <w:pPr>
        <w:spacing w:line="240" w:lineRule="auto"/>
        <w:rPr>
          <w:rFonts w:eastAsia="Times New Roman"/>
          <w:szCs w:val="24"/>
          <w:lang w:eastAsia="es-CO"/>
        </w:rPr>
      </w:pPr>
      <w:r w:rsidRPr="001266D0">
        <w:rPr>
          <w:rFonts w:eastAsia="Times New Roman"/>
          <w:szCs w:val="24"/>
          <w:lang w:eastAsia="es-CO"/>
        </w:rPr>
        <w:t>Bogotá D.C.</w:t>
      </w:r>
    </w:p>
    <w:p w:rsidR="00266A55" w:rsidRPr="001266D0" w:rsidRDefault="00266A55" w:rsidP="00266A55">
      <w:pPr>
        <w:spacing w:line="240" w:lineRule="auto"/>
        <w:rPr>
          <w:rFonts w:eastAsia="Times New Roman"/>
          <w:szCs w:val="24"/>
          <w:lang w:eastAsia="es-CO"/>
        </w:rPr>
      </w:pPr>
      <w:r w:rsidRPr="001266D0">
        <w:rPr>
          <w:rFonts w:eastAsia="Times New Roman"/>
          <w:szCs w:val="24"/>
          <w:lang w:eastAsia="es-CO"/>
        </w:rPr>
        <w:t> </w:t>
      </w:r>
    </w:p>
    <w:p w:rsidR="00266A55" w:rsidRPr="001266D0" w:rsidRDefault="00266A55" w:rsidP="00266A55">
      <w:pPr>
        <w:spacing w:line="240" w:lineRule="auto"/>
        <w:rPr>
          <w:rFonts w:eastAsia="Times New Roman"/>
          <w:szCs w:val="24"/>
          <w:lang w:eastAsia="es-CO"/>
        </w:rPr>
      </w:pPr>
      <w:proofErr w:type="spellStart"/>
      <w:r w:rsidRPr="001266D0">
        <w:rPr>
          <w:rFonts w:eastAsia="Times New Roman"/>
          <w:b/>
          <w:bCs/>
          <w:szCs w:val="24"/>
          <w:lang w:eastAsia="es-CO"/>
        </w:rPr>
        <w:t>Ref</w:t>
      </w:r>
      <w:proofErr w:type="spellEnd"/>
      <w:r w:rsidRPr="001266D0">
        <w:rPr>
          <w:rFonts w:eastAsia="Times New Roman"/>
          <w:b/>
          <w:bCs/>
          <w:szCs w:val="24"/>
          <w:lang w:eastAsia="es-CO"/>
        </w:rPr>
        <w:t>: </w:t>
      </w:r>
      <w:r w:rsidRPr="001266D0">
        <w:rPr>
          <w:rFonts w:eastAsia="Times New Roman"/>
          <w:szCs w:val="24"/>
          <w:lang w:eastAsia="es-CO"/>
        </w:rPr>
        <w:t>Radicado 49415 del 05/08/2014</w:t>
      </w:r>
    </w:p>
    <w:p w:rsidR="00266A55" w:rsidRPr="001266D0" w:rsidRDefault="00266A55" w:rsidP="00266A55">
      <w:pPr>
        <w:spacing w:line="240" w:lineRule="auto"/>
        <w:rPr>
          <w:rFonts w:eastAsia="Times New Roman"/>
          <w:szCs w:val="24"/>
          <w:lang w:eastAsia="es-CO"/>
        </w:rPr>
      </w:pPr>
      <w:r w:rsidRPr="001266D0">
        <w:rPr>
          <w:rFonts w:eastAsia="Times New Roman"/>
          <w:szCs w:val="24"/>
          <w:lang w:eastAsia="es-CO"/>
        </w:rPr>
        <w:t> </w:t>
      </w:r>
    </w:p>
    <w:p w:rsidR="00266A55" w:rsidRPr="001266D0" w:rsidRDefault="00266A55" w:rsidP="00266A55">
      <w:pPr>
        <w:spacing w:line="240" w:lineRule="auto"/>
        <w:rPr>
          <w:rFonts w:eastAsia="Times New Roman"/>
          <w:szCs w:val="24"/>
          <w:lang w:eastAsia="es-CO"/>
        </w:rPr>
      </w:pPr>
      <w:r w:rsidRPr="001266D0">
        <w:rPr>
          <w:rFonts w:eastAsia="Times New Roman"/>
          <w:b/>
          <w:bCs/>
          <w:szCs w:val="24"/>
          <w:lang w:eastAsia="es-CO"/>
        </w:rPr>
        <w:t>TEMA: </w:t>
      </w:r>
      <w:r w:rsidRPr="001266D0">
        <w:rPr>
          <w:rFonts w:eastAsia="Times New Roman"/>
          <w:szCs w:val="24"/>
          <w:lang w:eastAsia="es-CO"/>
        </w:rPr>
        <w:t>Procedimiento Tributario</w:t>
      </w:r>
    </w:p>
    <w:p w:rsidR="00266A55" w:rsidRPr="001266D0" w:rsidRDefault="00266A55" w:rsidP="00266A55">
      <w:pPr>
        <w:spacing w:line="240" w:lineRule="auto"/>
        <w:rPr>
          <w:rFonts w:eastAsia="Times New Roman"/>
          <w:szCs w:val="24"/>
          <w:lang w:eastAsia="es-CO"/>
        </w:rPr>
      </w:pPr>
      <w:r w:rsidRPr="001266D0">
        <w:rPr>
          <w:rFonts w:eastAsia="Times New Roman"/>
          <w:b/>
          <w:bCs/>
          <w:szCs w:val="24"/>
          <w:lang w:eastAsia="es-CO"/>
        </w:rPr>
        <w:t>DESCRIPTORES: </w:t>
      </w:r>
      <w:r w:rsidRPr="001266D0">
        <w:rPr>
          <w:rFonts w:eastAsia="Times New Roman"/>
          <w:szCs w:val="24"/>
          <w:lang w:eastAsia="es-CO"/>
        </w:rPr>
        <w:t>Devoluciones; Devolución de Saldos a Favor – Contabilización</w:t>
      </w:r>
    </w:p>
    <w:p w:rsidR="00266A55" w:rsidRPr="001266D0" w:rsidRDefault="00266A55" w:rsidP="00266A55">
      <w:pPr>
        <w:spacing w:line="240" w:lineRule="auto"/>
        <w:rPr>
          <w:rFonts w:eastAsia="Times New Roman"/>
          <w:szCs w:val="24"/>
          <w:lang w:eastAsia="es-CO"/>
        </w:rPr>
      </w:pPr>
      <w:r w:rsidRPr="001266D0">
        <w:rPr>
          <w:rFonts w:eastAsia="Times New Roman"/>
          <w:b/>
          <w:bCs/>
          <w:szCs w:val="24"/>
          <w:lang w:eastAsia="es-CO"/>
        </w:rPr>
        <w:t>FUENTES FORMALES: </w:t>
      </w:r>
      <w:r w:rsidRPr="001266D0">
        <w:rPr>
          <w:rFonts w:eastAsia="Times New Roman"/>
          <w:szCs w:val="24"/>
          <w:lang w:eastAsia="es-CO"/>
        </w:rPr>
        <w:t>Decreto 2277 de 2012 art 20; Ley 1328 de 2009 art 3</w:t>
      </w:r>
    </w:p>
    <w:p w:rsidR="00266A55" w:rsidRPr="001266D0" w:rsidRDefault="00266A55" w:rsidP="00266A55">
      <w:pPr>
        <w:spacing w:line="240" w:lineRule="auto"/>
        <w:rPr>
          <w:rFonts w:eastAsia="Times New Roman"/>
          <w:szCs w:val="24"/>
          <w:lang w:eastAsia="es-CO"/>
        </w:rPr>
      </w:pPr>
      <w:r w:rsidRPr="001266D0">
        <w:rPr>
          <w:rFonts w:eastAsia="Times New Roman"/>
          <w:szCs w:val="24"/>
          <w:lang w:eastAsia="es-CO"/>
        </w:rPr>
        <w:t> </w:t>
      </w:r>
    </w:p>
    <w:p w:rsidR="00266A55" w:rsidRPr="001266D0" w:rsidRDefault="00266A55" w:rsidP="00266A55">
      <w:pPr>
        <w:spacing w:line="240" w:lineRule="auto"/>
        <w:rPr>
          <w:rFonts w:eastAsia="Times New Roman"/>
          <w:szCs w:val="24"/>
          <w:lang w:eastAsia="es-CO"/>
        </w:rPr>
      </w:pPr>
      <w:r w:rsidRPr="001266D0">
        <w:rPr>
          <w:rFonts w:eastAsia="Times New Roman"/>
          <w:szCs w:val="24"/>
          <w:lang w:eastAsia="es-CO"/>
        </w:rPr>
        <w:t> </w:t>
      </w:r>
    </w:p>
    <w:p w:rsidR="00266A55" w:rsidRPr="001266D0" w:rsidRDefault="00266A55" w:rsidP="00266A55">
      <w:pPr>
        <w:spacing w:line="240" w:lineRule="auto"/>
        <w:rPr>
          <w:rFonts w:eastAsia="Times New Roman"/>
          <w:szCs w:val="24"/>
          <w:lang w:eastAsia="es-CO"/>
        </w:rPr>
      </w:pPr>
      <w:r w:rsidRPr="001266D0">
        <w:rPr>
          <w:rFonts w:eastAsia="Times New Roman"/>
          <w:szCs w:val="24"/>
          <w:lang w:eastAsia="es-CO"/>
        </w:rPr>
        <w:t>Atento saludo Sr. Serrano.</w:t>
      </w:r>
    </w:p>
    <w:p w:rsidR="00266A55" w:rsidRPr="001266D0" w:rsidRDefault="00266A55" w:rsidP="00266A55">
      <w:pPr>
        <w:spacing w:line="240" w:lineRule="auto"/>
        <w:rPr>
          <w:rFonts w:eastAsia="Times New Roman"/>
          <w:szCs w:val="24"/>
          <w:lang w:eastAsia="es-CO"/>
        </w:rPr>
      </w:pPr>
      <w:r w:rsidRPr="001266D0">
        <w:rPr>
          <w:rFonts w:eastAsia="Times New Roman"/>
          <w:szCs w:val="24"/>
          <w:lang w:eastAsia="es-CO"/>
        </w:rPr>
        <w:t> </w:t>
      </w:r>
    </w:p>
    <w:p w:rsidR="00266A55" w:rsidRPr="001266D0" w:rsidRDefault="00266A55" w:rsidP="00266A55">
      <w:pPr>
        <w:spacing w:line="240" w:lineRule="auto"/>
        <w:rPr>
          <w:rFonts w:eastAsia="Times New Roman"/>
          <w:szCs w:val="24"/>
          <w:lang w:eastAsia="es-CO"/>
        </w:rPr>
      </w:pPr>
      <w:r w:rsidRPr="001266D0">
        <w:rPr>
          <w:rFonts w:eastAsia="Times New Roman"/>
          <w:szCs w:val="24"/>
          <w:lang w:eastAsia="es-CO"/>
        </w:rPr>
        <w:t>De conformidad con el artículo 20 del Decreto número 4048 de 2008,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rsidR="00266A55" w:rsidRPr="001266D0" w:rsidRDefault="00266A55" w:rsidP="00266A55">
      <w:pPr>
        <w:spacing w:line="240" w:lineRule="auto"/>
        <w:rPr>
          <w:rFonts w:eastAsia="Times New Roman"/>
          <w:szCs w:val="24"/>
          <w:lang w:eastAsia="es-CO"/>
        </w:rPr>
      </w:pPr>
      <w:r w:rsidRPr="001266D0">
        <w:rPr>
          <w:rFonts w:eastAsia="Times New Roman"/>
          <w:szCs w:val="24"/>
          <w:lang w:eastAsia="es-CO"/>
        </w:rPr>
        <w:t> </w:t>
      </w:r>
    </w:p>
    <w:p w:rsidR="00266A55" w:rsidRPr="001266D0" w:rsidRDefault="00266A55" w:rsidP="00266A55">
      <w:pPr>
        <w:spacing w:line="240" w:lineRule="auto"/>
        <w:rPr>
          <w:rFonts w:eastAsia="Times New Roman"/>
          <w:szCs w:val="24"/>
          <w:lang w:eastAsia="es-CO"/>
        </w:rPr>
      </w:pPr>
      <w:r w:rsidRPr="001266D0">
        <w:rPr>
          <w:rFonts w:eastAsia="Times New Roman"/>
          <w:szCs w:val="24"/>
          <w:lang w:eastAsia="es-CO"/>
        </w:rPr>
        <w:t>En la consulta en referencia se pregunta ¿Cómo puede hacerse para cumplir con lo exigido por el artículo 20 del decreto 2277 del 2012?, cuando se elevan solicitudes de devolución ante la DIAN, para sumas superiores a los cien millones de pesos (100.000.000), de fundaciones domiciliadas en el exterior que no tienen ningún establecimiento en Colombia, ni está registrada ante ninguna cámara de comercio de Colombia y por lo tanto no tienen la posibilidad de que se les abra cuentas corrientes ni de ahorros por parte de ninguna entidad bancaria ni financiera en el país.</w:t>
      </w:r>
    </w:p>
    <w:p w:rsidR="00266A55" w:rsidRPr="001266D0" w:rsidRDefault="00266A55" w:rsidP="00266A55">
      <w:pPr>
        <w:spacing w:line="240" w:lineRule="auto"/>
        <w:rPr>
          <w:rFonts w:eastAsia="Times New Roman"/>
          <w:szCs w:val="24"/>
          <w:lang w:eastAsia="es-CO"/>
        </w:rPr>
      </w:pPr>
      <w:r w:rsidRPr="001266D0">
        <w:rPr>
          <w:rFonts w:eastAsia="Times New Roman"/>
          <w:szCs w:val="24"/>
          <w:lang w:eastAsia="es-CO"/>
        </w:rPr>
        <w:t> </w:t>
      </w:r>
    </w:p>
    <w:p w:rsidR="00266A55" w:rsidRPr="001266D0" w:rsidRDefault="00266A55" w:rsidP="00266A55">
      <w:pPr>
        <w:spacing w:line="240" w:lineRule="auto"/>
        <w:rPr>
          <w:rFonts w:eastAsia="Times New Roman"/>
          <w:szCs w:val="24"/>
          <w:lang w:eastAsia="es-CO"/>
        </w:rPr>
      </w:pPr>
      <w:r w:rsidRPr="001266D0">
        <w:rPr>
          <w:rFonts w:eastAsia="Times New Roman"/>
          <w:szCs w:val="24"/>
          <w:lang w:eastAsia="es-CO"/>
        </w:rPr>
        <w:t>En cuanto a lo anterior este despacho hace la siguiente consideración:</w:t>
      </w:r>
    </w:p>
    <w:p w:rsidR="00266A55" w:rsidRPr="001266D0" w:rsidRDefault="00266A55" w:rsidP="00266A55">
      <w:pPr>
        <w:spacing w:line="240" w:lineRule="auto"/>
        <w:rPr>
          <w:rFonts w:eastAsia="Times New Roman"/>
          <w:szCs w:val="24"/>
          <w:lang w:eastAsia="es-CO"/>
        </w:rPr>
      </w:pPr>
      <w:r w:rsidRPr="001266D0">
        <w:rPr>
          <w:rFonts w:eastAsia="Times New Roman"/>
          <w:szCs w:val="24"/>
          <w:lang w:eastAsia="es-CO"/>
        </w:rPr>
        <w:t> </w:t>
      </w:r>
    </w:p>
    <w:p w:rsidR="00266A55" w:rsidRPr="001266D0" w:rsidRDefault="00266A55" w:rsidP="00266A55">
      <w:pPr>
        <w:spacing w:line="240" w:lineRule="auto"/>
        <w:rPr>
          <w:rFonts w:eastAsia="Times New Roman"/>
          <w:szCs w:val="24"/>
          <w:lang w:eastAsia="es-CO"/>
        </w:rPr>
      </w:pPr>
      <w:r w:rsidRPr="001266D0">
        <w:rPr>
          <w:rFonts w:eastAsia="Times New Roman"/>
          <w:szCs w:val="24"/>
          <w:lang w:eastAsia="es-CO"/>
        </w:rPr>
        <w:t>Para el caso en concreto ya existe doctrina oficial, Oficio 032824 del 30 de Mayo del 2014 en el que se acoge el Concepto 2011041434-001 del 18 de julio de 2011 de la Superintendencia Financiera de Colombia y en el cual se expone la siguiente tesis:</w:t>
      </w:r>
    </w:p>
    <w:p w:rsidR="00266A55" w:rsidRPr="001266D0" w:rsidRDefault="00266A55" w:rsidP="00266A55">
      <w:pPr>
        <w:spacing w:line="240" w:lineRule="auto"/>
        <w:ind w:left="284"/>
        <w:rPr>
          <w:rFonts w:eastAsia="Times New Roman"/>
          <w:szCs w:val="24"/>
          <w:lang w:eastAsia="es-CO"/>
        </w:rPr>
      </w:pPr>
      <w:r w:rsidRPr="001266D0">
        <w:rPr>
          <w:rFonts w:eastAsia="Times New Roman"/>
          <w:szCs w:val="24"/>
          <w:lang w:eastAsia="es-CO"/>
        </w:rPr>
        <w:t> </w:t>
      </w:r>
    </w:p>
    <w:p w:rsidR="00266A55" w:rsidRPr="001266D0" w:rsidRDefault="00266A55" w:rsidP="00266A55">
      <w:pPr>
        <w:spacing w:line="240" w:lineRule="auto"/>
        <w:ind w:left="284"/>
        <w:rPr>
          <w:rFonts w:eastAsia="Times New Roman"/>
          <w:szCs w:val="24"/>
          <w:lang w:eastAsia="es-CO"/>
        </w:rPr>
      </w:pPr>
      <w:r w:rsidRPr="001266D0">
        <w:rPr>
          <w:rFonts w:eastAsia="Times New Roman"/>
          <w:i/>
          <w:iCs/>
          <w:szCs w:val="24"/>
          <w:lang w:eastAsia="es-CO"/>
        </w:rPr>
        <w:t>(…)</w:t>
      </w:r>
    </w:p>
    <w:p w:rsidR="00266A55" w:rsidRPr="001266D0" w:rsidRDefault="00266A55" w:rsidP="00266A55">
      <w:pPr>
        <w:spacing w:line="240" w:lineRule="auto"/>
        <w:ind w:left="284"/>
        <w:rPr>
          <w:rFonts w:eastAsia="Times New Roman"/>
          <w:szCs w:val="24"/>
          <w:lang w:eastAsia="es-CO"/>
        </w:rPr>
      </w:pPr>
      <w:r w:rsidRPr="001266D0">
        <w:rPr>
          <w:rFonts w:eastAsia="Times New Roman"/>
          <w:b/>
          <w:bCs/>
          <w:i/>
          <w:iCs/>
          <w:szCs w:val="24"/>
          <w:lang w:eastAsia="es-CO"/>
        </w:rPr>
        <w:t>CUENTA CORRIENTE O DE AHORROS, APERTURA POR PERSONAS NO RESIDENTES, APODERADO</w:t>
      </w:r>
    </w:p>
    <w:p w:rsidR="00266A55" w:rsidRPr="001266D0" w:rsidRDefault="00266A55" w:rsidP="00266A55">
      <w:pPr>
        <w:spacing w:line="240" w:lineRule="auto"/>
        <w:ind w:left="284"/>
        <w:rPr>
          <w:rFonts w:eastAsia="Times New Roman"/>
          <w:szCs w:val="24"/>
          <w:lang w:eastAsia="es-CO"/>
        </w:rPr>
      </w:pPr>
      <w:r w:rsidRPr="001266D0">
        <w:rPr>
          <w:rFonts w:eastAsia="Times New Roman"/>
          <w:b/>
          <w:bCs/>
          <w:i/>
          <w:iCs/>
          <w:szCs w:val="24"/>
          <w:lang w:eastAsia="es-CO"/>
        </w:rPr>
        <w:t> </w:t>
      </w:r>
    </w:p>
    <w:p w:rsidR="00266A55" w:rsidRPr="001266D0" w:rsidRDefault="00266A55" w:rsidP="00266A55">
      <w:pPr>
        <w:spacing w:line="240" w:lineRule="auto"/>
        <w:ind w:left="284"/>
        <w:rPr>
          <w:rFonts w:eastAsia="Times New Roman"/>
          <w:szCs w:val="24"/>
          <w:lang w:eastAsia="es-CO"/>
        </w:rPr>
      </w:pPr>
      <w:r w:rsidRPr="001266D0">
        <w:rPr>
          <w:rFonts w:eastAsia="Times New Roman"/>
          <w:b/>
          <w:bCs/>
          <w:i/>
          <w:iCs/>
          <w:szCs w:val="24"/>
          <w:lang w:eastAsia="es-CO"/>
        </w:rPr>
        <w:lastRenderedPageBreak/>
        <w:t>Síntesis: </w:t>
      </w:r>
      <w:r w:rsidRPr="001266D0">
        <w:rPr>
          <w:rFonts w:eastAsia="Times New Roman"/>
          <w:i/>
          <w:iCs/>
          <w:szCs w:val="24"/>
          <w:lang w:eastAsia="es-CO"/>
        </w:rPr>
        <w:t>Es posible que una persona no residente en el país (nacional o extranjera) abra una cuenta bancaria (ahorros o crédito) en Colombia, en moneda legal colombiana o en moneda extranjera, directamente o </w:t>
      </w:r>
      <w:r w:rsidRPr="001266D0">
        <w:rPr>
          <w:rFonts w:eastAsia="Times New Roman"/>
          <w:i/>
          <w:iCs/>
          <w:szCs w:val="24"/>
          <w:u w:val="single"/>
          <w:lang w:eastAsia="es-CO"/>
        </w:rPr>
        <w:t>por conducto de apoderado o mandatario</w:t>
      </w:r>
      <w:r w:rsidRPr="001266D0">
        <w:rPr>
          <w:rFonts w:eastAsia="Times New Roman"/>
          <w:i/>
          <w:iCs/>
          <w:szCs w:val="24"/>
          <w:lang w:eastAsia="es-CO"/>
        </w:rPr>
        <w:t>. Esta Superintendencia instruyó sobre los requisitos que deben exigirse, precisando que si la cuenta se va abrir desde el exterior a través de apoderado en Colombia, los documentos que se anexen, incluido el respectivo poder, debe cumplir las formalidades previstas en la ley para los documentos otorgados en el exterior.</w:t>
      </w:r>
    </w:p>
    <w:p w:rsidR="00266A55" w:rsidRPr="001266D0" w:rsidRDefault="00266A55" w:rsidP="00266A55">
      <w:pPr>
        <w:spacing w:line="240" w:lineRule="auto"/>
        <w:ind w:left="284"/>
        <w:rPr>
          <w:rFonts w:eastAsia="Times New Roman"/>
          <w:szCs w:val="24"/>
          <w:lang w:eastAsia="es-CO"/>
        </w:rPr>
      </w:pPr>
      <w:r w:rsidRPr="001266D0">
        <w:rPr>
          <w:rFonts w:eastAsia="Times New Roman"/>
          <w:szCs w:val="24"/>
          <w:lang w:eastAsia="es-CO"/>
        </w:rPr>
        <w:t> </w:t>
      </w:r>
    </w:p>
    <w:p w:rsidR="00266A55" w:rsidRPr="001266D0" w:rsidRDefault="00266A55" w:rsidP="00266A55">
      <w:pPr>
        <w:spacing w:line="240" w:lineRule="auto"/>
        <w:ind w:left="284"/>
        <w:rPr>
          <w:rFonts w:eastAsia="Times New Roman"/>
          <w:szCs w:val="24"/>
          <w:lang w:eastAsia="es-CO"/>
        </w:rPr>
      </w:pPr>
      <w:r w:rsidRPr="001266D0">
        <w:rPr>
          <w:rFonts w:eastAsia="Times New Roman"/>
          <w:i/>
          <w:iCs/>
          <w:szCs w:val="24"/>
          <w:lang w:eastAsia="es-CO"/>
        </w:rPr>
        <w:t>Bajo el marco normativo expuesto, es posible que una persona no residente en el país (nacional o extranjera) abra una cuenta bancaria (ahorros o crédito) en Colombia, en moneda legal colombiana o en moneda extranjera, directamente o por conducto de apoderado o mandatario.</w:t>
      </w:r>
    </w:p>
    <w:p w:rsidR="00266A55" w:rsidRPr="001266D0" w:rsidRDefault="00266A55" w:rsidP="00266A55">
      <w:pPr>
        <w:spacing w:line="240" w:lineRule="auto"/>
        <w:ind w:left="284"/>
        <w:rPr>
          <w:rFonts w:eastAsia="Times New Roman"/>
          <w:szCs w:val="24"/>
          <w:lang w:eastAsia="es-CO"/>
        </w:rPr>
      </w:pPr>
      <w:r w:rsidRPr="001266D0">
        <w:rPr>
          <w:rFonts w:eastAsia="Times New Roman"/>
          <w:i/>
          <w:iCs/>
          <w:szCs w:val="24"/>
          <w:lang w:eastAsia="es-CO"/>
        </w:rPr>
        <w:t> </w:t>
      </w:r>
    </w:p>
    <w:p w:rsidR="00266A55" w:rsidRPr="001266D0" w:rsidRDefault="00266A55" w:rsidP="00266A55">
      <w:pPr>
        <w:spacing w:line="240" w:lineRule="auto"/>
        <w:ind w:left="284"/>
        <w:rPr>
          <w:rFonts w:eastAsia="Times New Roman"/>
          <w:szCs w:val="24"/>
          <w:lang w:eastAsia="es-CO"/>
        </w:rPr>
      </w:pPr>
      <w:r w:rsidRPr="001266D0">
        <w:rPr>
          <w:rFonts w:eastAsia="Times New Roman"/>
          <w:i/>
          <w:iCs/>
          <w:szCs w:val="24"/>
          <w:lang w:eastAsia="es-CO"/>
        </w:rPr>
        <w:t>Es pertinente manifestar que esta Superintendencia, en el numeral 4.2.2.1.1 del Capítulo XI del Título I de la Circular Básica Jurídica 007 de 1996, estableció requisitos que deben ser exigidos por las entidades que abran cuentas bancarias.</w:t>
      </w:r>
    </w:p>
    <w:p w:rsidR="00266A55" w:rsidRPr="001266D0" w:rsidRDefault="00266A55" w:rsidP="00266A55">
      <w:pPr>
        <w:spacing w:line="240" w:lineRule="auto"/>
        <w:ind w:left="284"/>
        <w:rPr>
          <w:rFonts w:eastAsia="Times New Roman"/>
          <w:szCs w:val="24"/>
          <w:lang w:eastAsia="es-CO"/>
        </w:rPr>
      </w:pPr>
      <w:r w:rsidRPr="001266D0">
        <w:rPr>
          <w:rFonts w:eastAsia="Times New Roman"/>
          <w:i/>
          <w:iCs/>
          <w:szCs w:val="24"/>
          <w:lang w:eastAsia="es-CO"/>
        </w:rPr>
        <w:t> </w:t>
      </w:r>
    </w:p>
    <w:p w:rsidR="00266A55" w:rsidRPr="001266D0" w:rsidRDefault="00266A55" w:rsidP="00266A55">
      <w:pPr>
        <w:spacing w:line="240" w:lineRule="auto"/>
        <w:ind w:left="284"/>
        <w:rPr>
          <w:rFonts w:eastAsia="Times New Roman"/>
          <w:szCs w:val="24"/>
          <w:lang w:eastAsia="es-CO"/>
        </w:rPr>
      </w:pPr>
      <w:r w:rsidRPr="001266D0">
        <w:rPr>
          <w:rFonts w:eastAsia="Times New Roman"/>
          <w:i/>
          <w:iCs/>
          <w:szCs w:val="24"/>
          <w:lang w:eastAsia="es-CO"/>
        </w:rPr>
        <w:t>Por último, cabe anotar de manera general que las instituciones financieras (como son los bancos) pueden, en ejercicio del principio de libertad de elección consagrado en el artículo 3 literal b. de la Ley 1328 de 2009, escoger libremente a sus respectivas contrapartes en la celebración de los contratos mediante los cuales se instrumente el suministro de productos o la prestación de servicios; </w:t>
      </w:r>
      <w:r w:rsidRPr="001266D0">
        <w:rPr>
          <w:rFonts w:eastAsia="Times New Roman"/>
          <w:i/>
          <w:iCs/>
          <w:szCs w:val="24"/>
          <w:u w:val="single"/>
          <w:lang w:eastAsia="es-CO"/>
        </w:rPr>
        <w:t>no obstante, la negativa deberá fundamentarse en causales objetivas y no podrá establecerse tratamiento diferente a los consumidores financieros ..</w:t>
      </w:r>
      <w:r w:rsidRPr="001266D0">
        <w:rPr>
          <w:rFonts w:eastAsia="Times New Roman"/>
          <w:i/>
          <w:iCs/>
          <w:szCs w:val="24"/>
          <w:lang w:eastAsia="es-CO"/>
        </w:rPr>
        <w:t>"</w:t>
      </w:r>
    </w:p>
    <w:p w:rsidR="00266A55" w:rsidRPr="001266D0" w:rsidRDefault="00266A55" w:rsidP="00266A55">
      <w:pPr>
        <w:spacing w:line="240" w:lineRule="auto"/>
        <w:ind w:left="284"/>
        <w:rPr>
          <w:rFonts w:eastAsia="Times New Roman"/>
          <w:szCs w:val="24"/>
          <w:lang w:eastAsia="es-CO"/>
        </w:rPr>
      </w:pPr>
      <w:r w:rsidRPr="001266D0">
        <w:rPr>
          <w:rFonts w:eastAsia="Times New Roman"/>
          <w:i/>
          <w:iCs/>
          <w:szCs w:val="24"/>
          <w:lang w:eastAsia="es-CO"/>
        </w:rPr>
        <w:t>(…) Subrayado Fuera del Texto</w:t>
      </w:r>
    </w:p>
    <w:p w:rsidR="00266A55" w:rsidRPr="001266D0" w:rsidRDefault="00266A55" w:rsidP="00266A55">
      <w:pPr>
        <w:spacing w:line="240" w:lineRule="auto"/>
        <w:rPr>
          <w:rFonts w:eastAsia="Times New Roman"/>
          <w:szCs w:val="24"/>
          <w:u w:val="single"/>
          <w:lang w:eastAsia="es-CO"/>
        </w:rPr>
      </w:pPr>
      <w:r w:rsidRPr="001266D0">
        <w:rPr>
          <w:rFonts w:eastAsia="Times New Roman"/>
          <w:i/>
          <w:iCs/>
          <w:szCs w:val="24"/>
          <w:u w:val="single"/>
          <w:lang w:eastAsia="es-CO"/>
        </w:rPr>
        <w:t> </w:t>
      </w:r>
    </w:p>
    <w:p w:rsidR="00266A55" w:rsidRPr="001266D0" w:rsidRDefault="00266A55" w:rsidP="00266A55">
      <w:pPr>
        <w:spacing w:line="240" w:lineRule="auto"/>
        <w:rPr>
          <w:rFonts w:eastAsia="Times New Roman"/>
          <w:b/>
          <w:szCs w:val="24"/>
          <w:u w:val="single"/>
          <w:lang w:eastAsia="es-CO"/>
        </w:rPr>
      </w:pPr>
      <w:r w:rsidRPr="001266D0">
        <w:rPr>
          <w:rFonts w:eastAsia="Times New Roman"/>
          <w:b/>
          <w:szCs w:val="24"/>
          <w:u w:val="single"/>
          <w:lang w:eastAsia="es-CO"/>
        </w:rPr>
        <w:t>De conformidad con lo expresado, no existe imposibilidad legal para que un no residente tenga la titularidad de una cuenta bancaria, ya que puede abrirse a través de un apoderado o mandatario con el cumplimiento de las formalidades atribuidas en la norma, y de esta manera cumplir con uno de los requisitos para efectos de la devolución de impuestos ante la administración.</w:t>
      </w:r>
    </w:p>
    <w:p w:rsidR="00266A55" w:rsidRPr="001266D0" w:rsidRDefault="00266A55" w:rsidP="00266A55">
      <w:pPr>
        <w:spacing w:line="240" w:lineRule="auto"/>
        <w:rPr>
          <w:rFonts w:eastAsia="Times New Roman"/>
          <w:b/>
          <w:szCs w:val="24"/>
          <w:u w:val="single"/>
          <w:lang w:eastAsia="es-CO"/>
        </w:rPr>
      </w:pPr>
      <w:r w:rsidRPr="001266D0">
        <w:rPr>
          <w:rFonts w:eastAsia="Times New Roman"/>
          <w:b/>
          <w:szCs w:val="24"/>
          <w:u w:val="single"/>
          <w:lang w:eastAsia="es-CO"/>
        </w:rPr>
        <w:t> </w:t>
      </w:r>
    </w:p>
    <w:p w:rsidR="00266A55" w:rsidRPr="001266D0" w:rsidRDefault="00266A55" w:rsidP="00266A55">
      <w:pPr>
        <w:spacing w:line="240" w:lineRule="auto"/>
        <w:rPr>
          <w:rFonts w:eastAsia="Times New Roman"/>
          <w:b/>
          <w:szCs w:val="24"/>
          <w:u w:val="single"/>
          <w:lang w:eastAsia="es-CO"/>
        </w:rPr>
      </w:pPr>
      <w:r w:rsidRPr="001266D0">
        <w:rPr>
          <w:rFonts w:eastAsia="Times New Roman"/>
          <w:b/>
          <w:szCs w:val="24"/>
          <w:u w:val="single"/>
          <w:lang w:eastAsia="es-CO"/>
        </w:rPr>
        <w:t>Ahora bien, en caso que no se le permita acceder a una cuenta, el mismo concepto de la superintendencia financiera, aclara que de manera general las instituciones financieras (como son los bancos) pueden, en ejercicio del principio de libertad de elección consagrado en el artículo 3 literal b. de la Ley 1328 de 2009, escoger libremente a sus respectivas contrapartes en la celebración de los contratos mediante los cuales se instrumente el suministro de productos o la prestación de servicios. Sin embargo, en el supuesto de una negativa por parte de la entidad financiera en lo que respecta a la constitución de alguna cuenta deberá fundamentarse en causales objetivas y no podrá establecerse tratamiento diferente a los consumidores financieros.</w:t>
      </w:r>
    </w:p>
    <w:p w:rsidR="00266A55" w:rsidRPr="001266D0" w:rsidRDefault="00266A55" w:rsidP="00266A55">
      <w:pPr>
        <w:spacing w:line="240" w:lineRule="auto"/>
        <w:rPr>
          <w:rFonts w:eastAsia="Times New Roman"/>
          <w:b/>
          <w:szCs w:val="24"/>
          <w:u w:val="single"/>
          <w:lang w:eastAsia="es-CO"/>
        </w:rPr>
      </w:pPr>
      <w:r w:rsidRPr="001266D0">
        <w:rPr>
          <w:rFonts w:eastAsia="Times New Roman"/>
          <w:b/>
          <w:szCs w:val="24"/>
          <w:u w:val="single"/>
          <w:lang w:eastAsia="es-CO"/>
        </w:rPr>
        <w:t> </w:t>
      </w:r>
    </w:p>
    <w:p w:rsidR="00266A55" w:rsidRPr="001266D0" w:rsidRDefault="00266A55" w:rsidP="00266A55">
      <w:pPr>
        <w:spacing w:line="240" w:lineRule="auto"/>
        <w:rPr>
          <w:rFonts w:eastAsia="Times New Roman"/>
          <w:b/>
          <w:szCs w:val="24"/>
          <w:u w:val="single"/>
          <w:lang w:eastAsia="es-CO"/>
        </w:rPr>
      </w:pPr>
      <w:r w:rsidRPr="001266D0">
        <w:rPr>
          <w:rFonts w:eastAsia="Times New Roman"/>
          <w:b/>
          <w:szCs w:val="24"/>
          <w:u w:val="single"/>
          <w:lang w:eastAsia="es-CO"/>
        </w:rPr>
        <w:t> </w:t>
      </w:r>
    </w:p>
    <w:p w:rsidR="00266A55" w:rsidRPr="001266D0" w:rsidRDefault="00266A55" w:rsidP="00266A55">
      <w:pPr>
        <w:spacing w:line="240" w:lineRule="auto"/>
        <w:rPr>
          <w:rFonts w:eastAsia="Times New Roman"/>
          <w:szCs w:val="24"/>
          <w:lang w:eastAsia="es-CO"/>
        </w:rPr>
      </w:pPr>
      <w:r w:rsidRPr="001266D0">
        <w:rPr>
          <w:rFonts w:eastAsia="Times New Roman"/>
          <w:szCs w:val="24"/>
          <w:lang w:eastAsia="es-CO"/>
        </w:rPr>
        <w:t>Atentamente,</w:t>
      </w:r>
    </w:p>
    <w:p w:rsidR="00266A55" w:rsidRPr="001266D0" w:rsidRDefault="00266A55" w:rsidP="00266A55">
      <w:pPr>
        <w:spacing w:line="240" w:lineRule="auto"/>
        <w:rPr>
          <w:rFonts w:eastAsia="Times New Roman"/>
          <w:szCs w:val="24"/>
          <w:lang w:eastAsia="es-CO"/>
        </w:rPr>
      </w:pPr>
      <w:r w:rsidRPr="001266D0">
        <w:rPr>
          <w:rFonts w:eastAsia="Times New Roman"/>
          <w:szCs w:val="24"/>
          <w:lang w:eastAsia="es-CO"/>
        </w:rPr>
        <w:t> </w:t>
      </w:r>
    </w:p>
    <w:p w:rsidR="00266A55" w:rsidRPr="001266D0" w:rsidRDefault="00266A55" w:rsidP="00266A55">
      <w:pPr>
        <w:spacing w:line="240" w:lineRule="auto"/>
        <w:rPr>
          <w:rFonts w:eastAsia="Times New Roman"/>
          <w:szCs w:val="24"/>
          <w:lang w:eastAsia="es-CO"/>
        </w:rPr>
      </w:pPr>
      <w:r w:rsidRPr="001266D0">
        <w:rPr>
          <w:rFonts w:eastAsia="Times New Roman"/>
          <w:szCs w:val="24"/>
          <w:lang w:eastAsia="es-CO"/>
        </w:rPr>
        <w:t> </w:t>
      </w:r>
    </w:p>
    <w:p w:rsidR="00266A55" w:rsidRPr="001266D0" w:rsidRDefault="00266A55" w:rsidP="00266A55">
      <w:pPr>
        <w:spacing w:line="240" w:lineRule="auto"/>
        <w:rPr>
          <w:rFonts w:eastAsia="Times New Roman"/>
          <w:szCs w:val="24"/>
          <w:lang w:eastAsia="es-CO"/>
        </w:rPr>
      </w:pPr>
      <w:r w:rsidRPr="001266D0">
        <w:rPr>
          <w:rFonts w:eastAsia="Times New Roman"/>
          <w:b/>
          <w:bCs/>
          <w:szCs w:val="24"/>
          <w:lang w:eastAsia="es-CO"/>
        </w:rPr>
        <w:lastRenderedPageBreak/>
        <w:t>YUMER YOEL AGUILAR VARGAS</w:t>
      </w:r>
    </w:p>
    <w:p w:rsidR="00266A55" w:rsidRPr="001266D0" w:rsidRDefault="00266A55" w:rsidP="00266A55">
      <w:pPr>
        <w:spacing w:line="240" w:lineRule="auto"/>
        <w:rPr>
          <w:rFonts w:eastAsia="Times New Roman"/>
          <w:szCs w:val="24"/>
          <w:lang w:eastAsia="es-CO"/>
        </w:rPr>
      </w:pPr>
      <w:r w:rsidRPr="001266D0">
        <w:rPr>
          <w:rFonts w:eastAsia="Times New Roman"/>
          <w:szCs w:val="24"/>
          <w:lang w:eastAsia="es-CO"/>
        </w:rPr>
        <w:t>Subdirector de Gestión Normativa y Doctrina</w:t>
      </w:r>
    </w:p>
    <w:p w:rsidR="00B51D80" w:rsidRPr="001266D0" w:rsidRDefault="00B51D80">
      <w:pPr>
        <w:rPr>
          <w:szCs w:val="24"/>
        </w:rPr>
      </w:pPr>
    </w:p>
    <w:sectPr w:rsidR="00B51D80" w:rsidRPr="001266D0" w:rsidSect="001E46FB">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A55"/>
    <w:rsid w:val="0012481E"/>
    <w:rsid w:val="001266D0"/>
    <w:rsid w:val="001E46FB"/>
    <w:rsid w:val="00266A55"/>
    <w:rsid w:val="00A067C7"/>
    <w:rsid w:val="00B51D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FEDC89-4837-489B-857A-9771EB5B0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11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713</Words>
  <Characters>3923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CNETCO</cp:lastModifiedBy>
  <cp:revision>4</cp:revision>
  <dcterms:created xsi:type="dcterms:W3CDTF">2015-01-29T18:16:00Z</dcterms:created>
  <dcterms:modified xsi:type="dcterms:W3CDTF">2015-02-16T20:44:00Z</dcterms:modified>
</cp:coreProperties>
</file>